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u w:val="single"/>
          <w:rtl w:val="0"/>
        </w:rPr>
        <w:t xml:space="preserve">Development Coordinator Job Description</w:t>
      </w:r>
      <w:r w:rsidDel="00000000" w:rsidR="00000000" w:rsidRPr="00000000">
        <w:rPr>
          <w:rtl w:val="0"/>
        </w:rPr>
      </w:r>
    </w:p>
    <w:p w:rsidR="00000000" w:rsidDel="00000000" w:rsidP="00000000" w:rsidRDefault="00000000" w:rsidRPr="00000000" w14:paraId="00000002">
      <w:pPr>
        <w:ind w:left="2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3">
      <w:pPr>
        <w:ind w:left="0" w:firstLine="0"/>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b w:val="1"/>
          <w:bCs w:val="1"/>
          <w:sz w:val="24"/>
          <w:szCs w:val="24"/>
          <w:rtl w:val="0"/>
        </w:rPr>
        <w:t xml:space="preserve">Salary:</w:t>
      </w:r>
      <w:r w:rsidDel="00000000" w:rsidR="00000000" w:rsidRPr="00000000">
        <w:rPr>
          <w:rFonts w:ascii="Calibri" w:cs="Calibri" w:eastAsia="Calibri" w:hAnsi="Calibri"/>
          <w:sz w:val="24"/>
          <w:szCs w:val="24"/>
          <w:rtl w:val="0"/>
        </w:rPr>
        <w:t xml:space="preserve"> £16.98per hour,</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£33,111 pro rata per annum (ie. £19,866.60)</w:t>
      </w:r>
    </w:p>
    <w:p w:rsidR="00000000" w:rsidDel="00000000" w:rsidP="00000000" w:rsidRDefault="00000000" w:rsidRPr="00000000" w14:paraId="00000004">
      <w:pPr>
        <w:ind w:left="28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Hours:</w:t>
      </w:r>
      <w:r w:rsidDel="00000000" w:rsidR="00000000" w:rsidRPr="00000000">
        <w:rPr>
          <w:rFonts w:ascii="Calibri" w:cs="Calibri" w:eastAsia="Calibri" w:hAnsi="Calibri"/>
          <w:sz w:val="24"/>
          <w:szCs w:val="24"/>
          <w:rtl w:val="0"/>
        </w:rPr>
        <w:t xml:space="preserve"> 22.5 hours per week Monday to Friday with some evening and weekend work  </w:t>
      </w:r>
    </w:p>
    <w:p w:rsidR="00000000" w:rsidDel="00000000" w:rsidP="00000000" w:rsidRDefault="00000000" w:rsidRPr="00000000" w14:paraId="00000006">
      <w:pPr>
        <w:ind w:left="28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Contract:</w:t>
      </w:r>
      <w:r w:rsidDel="00000000" w:rsidR="00000000" w:rsidRPr="00000000">
        <w:rPr>
          <w:rFonts w:ascii="Calibri" w:cs="Calibri" w:eastAsia="Calibri" w:hAnsi="Calibri"/>
          <w:sz w:val="24"/>
          <w:szCs w:val="24"/>
          <w:rtl w:val="0"/>
        </w:rPr>
        <w:t xml:space="preserve"> Permanent, subject to the successful completion of a six-month probationary period. </w:t>
      </w:r>
    </w:p>
    <w:p w:rsidR="00000000" w:rsidDel="00000000" w:rsidP="00000000" w:rsidRDefault="00000000" w:rsidRPr="00000000" w14:paraId="00000008">
      <w:pPr>
        <w:ind w:left="28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Base:</w:t>
      </w:r>
      <w:r w:rsidDel="00000000" w:rsidR="00000000" w:rsidRPr="00000000">
        <w:rPr>
          <w:rFonts w:ascii="Calibri" w:cs="Calibri" w:eastAsia="Calibri" w:hAnsi="Calibri"/>
          <w:sz w:val="24"/>
          <w:szCs w:val="24"/>
          <w:rtl w:val="0"/>
        </w:rPr>
        <w:t xml:space="preserve"> The Activity Den, Tanfield Lea, Stanley, County Durham. DH9 9LU </w:t>
      </w:r>
    </w:p>
    <w:p w:rsidR="00000000" w:rsidDel="00000000" w:rsidP="00000000" w:rsidRDefault="00000000" w:rsidRPr="00000000" w14:paraId="0000000A">
      <w:pPr>
        <w:ind w:left="28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Holidays:</w:t>
      </w:r>
      <w:r w:rsidDel="00000000" w:rsidR="00000000" w:rsidRPr="00000000">
        <w:rPr>
          <w:rFonts w:ascii="Calibri" w:cs="Calibri" w:eastAsia="Calibri" w:hAnsi="Calibri"/>
          <w:sz w:val="24"/>
          <w:szCs w:val="24"/>
          <w:rtl w:val="0"/>
        </w:rPr>
        <w:t xml:space="preserve"> 30 days annual leave per annum (pro rata) including bank holidays </w:t>
      </w:r>
    </w:p>
    <w:p w:rsidR="00000000" w:rsidDel="00000000" w:rsidP="00000000" w:rsidRDefault="00000000" w:rsidRPr="00000000" w14:paraId="0000000C">
      <w:pPr>
        <w:ind w:left="284"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Accountability:</w:t>
      </w:r>
      <w:r w:rsidDel="00000000" w:rsidR="00000000" w:rsidRPr="00000000">
        <w:rPr>
          <w:rFonts w:ascii="Calibri" w:cs="Calibri" w:eastAsia="Calibri" w:hAnsi="Calibri"/>
          <w:sz w:val="24"/>
          <w:szCs w:val="24"/>
          <w:rtl w:val="0"/>
        </w:rPr>
        <w:t xml:space="preserve"> The Development Coordinator will be accountable to the Chair of The Activity Den.  </w:t>
      </w:r>
    </w:p>
    <w:p w:rsidR="00000000" w:rsidDel="00000000" w:rsidP="00000000" w:rsidRDefault="00000000" w:rsidRPr="00000000" w14:paraId="0000000E">
      <w:pPr>
        <w:ind w:left="284" w:firstLine="0"/>
        <w:rPr>
          <w:rFonts w:ascii="Calibri" w:cs="Calibri" w:eastAsia="Calibri" w:hAnsi="Calibri"/>
          <w:sz w:val="24"/>
          <w:szCs w:val="24"/>
        </w:rPr>
      </w:pPr>
      <w:bookmarkStart w:colFirst="0" w:colLast="0" w:name="_heading=h.ycisejtlqal3" w:id="1"/>
      <w:bookmarkEnd w:id="1"/>
      <w:r w:rsidDel="00000000" w:rsidR="00000000" w:rsidRPr="00000000">
        <w:rPr>
          <w:rtl w:val="0"/>
        </w:rPr>
      </w:r>
    </w:p>
    <w:p w:rsidR="00000000" w:rsidDel="00000000" w:rsidP="00000000" w:rsidRDefault="00000000" w:rsidRPr="00000000" w14:paraId="0000000F">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Purpose of the Post  </w:t>
      </w:r>
    </w:p>
    <w:p w:rsidR="00000000" w:rsidDel="00000000" w:rsidP="00000000" w:rsidRDefault="00000000" w:rsidRPr="00000000" w14:paraId="00000010">
      <w:pPr>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Development Coordinator will provide strategic leadership and day-to-day management of The Activity Den, ensuring the effective operation, development and sustainability of the charity and its services.</w:t>
      </w:r>
    </w:p>
    <w:p w:rsidR="00000000" w:rsidDel="00000000" w:rsidP="00000000" w:rsidRDefault="00000000" w:rsidRPr="00000000" w14:paraId="0000001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Working closely with the Chair, Trustees, staff, volunteers and partner organisations, the Development Coordinator will lead on fundraising, organisational development, governance, partnerships and community engagement, supporting the delivery of high-quality activities and opportunities for children, young people and their families. </w:t>
      </w:r>
    </w:p>
    <w:p w:rsidR="00000000" w:rsidDel="00000000" w:rsidP="00000000" w:rsidRDefault="00000000" w:rsidRPr="00000000" w14:paraId="00000012">
      <w:pPr>
        <w:ind w:left="28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3">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Main Duties  </w:t>
      </w:r>
    </w:p>
    <w:p w:rsidR="00000000" w:rsidDel="00000000" w:rsidP="00000000" w:rsidRDefault="00000000" w:rsidRPr="00000000" w14:paraId="0000001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Lead the strategic development of The Activity Den, identifying opportunities for growth, sustainability and community impact.</w:t>
      </w:r>
    </w:p>
    <w:p w:rsidR="00000000" w:rsidDel="00000000" w:rsidP="00000000" w:rsidRDefault="00000000" w:rsidRPr="00000000" w14:paraId="0000001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Lead on fundraising and income generation, including the development and submission of grant applications, funding bids and other fundraising initiatives to secure project and core funding.</w:t>
      </w:r>
    </w:p>
    <w:p w:rsidR="00000000" w:rsidDel="00000000" w:rsidP="00000000" w:rsidRDefault="00000000" w:rsidRPr="00000000" w14:paraId="0000001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Build and maintain effective relationships with community members, partner organisations, funders, local authorities and other stakeholders to strengthen community engagement and collaborative working.</w:t>
      </w:r>
    </w:p>
    <w:p w:rsidR="00000000" w:rsidDel="00000000" w:rsidP="00000000" w:rsidRDefault="00000000" w:rsidRPr="00000000" w14:paraId="0000001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Work closely with the Youth Project Lead to ensure regular consultation takes place with children, young people, families and the wider community to identify needs and inform the development of services and activities.</w:t>
      </w:r>
    </w:p>
    <w:p w:rsidR="00000000" w:rsidDel="00000000" w:rsidP="00000000" w:rsidRDefault="00000000" w:rsidRPr="00000000" w14:paraId="0000001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Support the development and growth of projects, clubs and services that respond to identified community needs and contribute to the charity's strategic objectives.</w:t>
      </w:r>
    </w:p>
    <w:p w:rsidR="00000000" w:rsidDel="00000000" w:rsidP="00000000" w:rsidRDefault="00000000" w:rsidRPr="00000000" w14:paraId="0000001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Line manage designated staff and volunteers, including recruitment, induction, supervision, performance management and ongoing support.</w:t>
      </w:r>
    </w:p>
    <w:p w:rsidR="00000000" w:rsidDel="00000000" w:rsidP="00000000" w:rsidRDefault="00000000" w:rsidRPr="00000000" w14:paraId="0000001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Lead the recruitment, training and development of volunteers to support the delivery of The Activity Den's services.</w:t>
      </w:r>
    </w:p>
    <w:p w:rsidR="00000000" w:rsidDel="00000000" w:rsidP="00000000" w:rsidRDefault="00000000" w:rsidRPr="00000000" w14:paraId="0000001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Contribute to budget management, financial planning and the preparation of financial information for the Board of Trustees and funders.</w:t>
      </w:r>
    </w:p>
    <w:p w:rsidR="00000000" w:rsidDel="00000000" w:rsidP="00000000" w:rsidRDefault="00000000" w:rsidRPr="00000000" w14:paraId="0000001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Prepare reports, funding updates, monitoring information and impact reports for the Board of Trustees, funders and other stakeholders.</w:t>
      </w:r>
    </w:p>
    <w:p w:rsidR="00000000" w:rsidDel="00000000" w:rsidP="00000000" w:rsidRDefault="00000000" w:rsidRPr="00000000" w14:paraId="0000001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Provide capacity-building support to staff, volunteers and community groups, including identifying funding opportunities, training and development needs.</w:t>
      </w:r>
    </w:p>
    <w:p w:rsidR="00000000" w:rsidDel="00000000" w:rsidP="00000000" w:rsidRDefault="00000000" w:rsidRPr="00000000" w14:paraId="0000001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Oversee the planning, implementation, monitoring and evaluation of projects delivered by The Activity Den, ensuring compliance with funding requirements and organisational objectives.</w:t>
      </w:r>
    </w:p>
    <w:p w:rsidR="00000000" w:rsidDel="00000000" w:rsidP="00000000" w:rsidRDefault="00000000" w:rsidRPr="00000000" w14:paraId="0000001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Act as a key point of contact for enquiries relating to The Activity Den, providing information, support and appropriate signposting where required.</w:t>
      </w:r>
    </w:p>
    <w:p w:rsidR="00000000" w:rsidDel="00000000" w:rsidP="00000000" w:rsidRDefault="00000000" w:rsidRPr="00000000" w14:paraId="0000002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Support and coordinate the promotion and marketing of The Activity Den through a range of channels including social media, community engagement, networking and public relations activities, ensuring communications align with the charity's strategic objectives.</w:t>
      </w:r>
    </w:p>
    <w:p w:rsidR="00000000" w:rsidDel="00000000" w:rsidP="00000000" w:rsidRDefault="00000000" w:rsidRPr="00000000" w14:paraId="0000002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Ensure organisational policies, procedures and statutory requirements are implemented and adhered to, including undertaking the role of Deputy or Designated Safeguarding Officer as required by the organisation.</w:t>
      </w:r>
    </w:p>
    <w:p w:rsidR="00000000" w:rsidDel="00000000" w:rsidP="00000000" w:rsidRDefault="00000000" w:rsidRPr="00000000" w14:paraId="0000002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Maintain oversight of the charity's operational arrangements, including premises management, health and safety compliance and service delivery requirements, working closely with relevant staff and trustees.</w:t>
      </w:r>
    </w:p>
    <w:p w:rsidR="00000000" w:rsidDel="00000000" w:rsidP="00000000" w:rsidRDefault="00000000" w:rsidRPr="00000000" w14:paraId="0000002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Undertake any other duties reasonably required by the Board of Trustees that are consistent with the nature and level of the post.</w:t>
      </w:r>
    </w:p>
    <w:p w:rsidR="00000000" w:rsidDel="00000000" w:rsidP="00000000" w:rsidRDefault="00000000" w:rsidRPr="00000000" w14:paraId="00000024">
      <w:pPr>
        <w:ind w:left="0" w:firstLine="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Activity Den  </w:t>
      </w:r>
    </w:p>
    <w:p w:rsidR="00000000" w:rsidDel="00000000" w:rsidP="00000000" w:rsidRDefault="00000000" w:rsidRPr="00000000" w14:paraId="00000025">
      <w:pPr>
        <w:ind w:left="0"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June 2026</w:t>
      </w:r>
      <w:r w:rsidDel="00000000" w:rsidR="00000000" w:rsidRPr="00000000">
        <w:rPr>
          <w:rFonts w:ascii="Calibri" w:cs="Calibri" w:eastAsia="Calibri" w:hAnsi="Calibri"/>
          <w:sz w:val="24"/>
          <w:szCs w:val="24"/>
          <w:rtl w:val="0"/>
        </w:rPr>
        <w:t xml:space="preserve"> </w:t>
      </w:r>
    </w:p>
    <w:sectPr>
      <w:headerReference r:id="rId7" w:type="default"/>
      <w:footerReference r:id="rId8" w:type="default"/>
      <w:pgSz w:h="16820" w:w="11900" w:orient="portrait"/>
      <w:pgMar w:bottom="1476" w:top="1133" w:left="1132" w:right="141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-133349</wp:posOffset>
              </wp:positionH>
              <wp:positionV relativeFrom="paragraph">
                <wp:posOffset>-95249</wp:posOffset>
              </wp:positionV>
              <wp:extent cx="6543675" cy="704850"/>
              <wp:effectExtent b="0" l="0" r="0" t="0"/>
              <wp:wrapNone/>
              <wp:docPr id="1" name=""/>
              <a:graphic>
                <a:graphicData uri="http://schemas.microsoft.com/office/word/2010/wordprocessingShape">
                  <wps:wsp>
                    <wps:cNvSpPr/>
                    <wps:cNvPr id="2" name="Shape 2"/>
                    <wps:spPr>
                      <a:xfrm>
                        <a:off x="2088450" y="3437100"/>
                        <a:ext cx="6515100" cy="6858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2.0000000298023224"/>
                            <w:jc w:val="center"/>
                            <w:textDirection w:val="btLr"/>
                          </w:pP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Lucida Sans" w:cs="Lucida Sans" w:eastAsia="Lucida Sans" w:hAnsi="Lucida Sans"/>
                              <w:b w:val="0"/>
                              <w:i w:val="0"/>
                              <w:smallCaps w:val="0"/>
                              <w:strike w:val="0"/>
                              <w:color w:val="000000"/>
                              <w:sz w:val="17"/>
                              <w:vertAlign w:val="baseline"/>
                            </w:rPr>
                            <w:t xml:space="preserve">Registered Charity No: 1122076 </w:t>
                          </w:r>
                        </w:p>
                        <w:p w:rsidR="00000000" w:rsidDel="00000000" w:rsidP="00000000" w:rsidRDefault="00000000" w:rsidRPr="00000000">
                          <w:pPr>
                            <w:spacing w:after="0" w:before="0" w:line="240"/>
                            <w:ind w:left="0" w:right="0" w:firstLine="-2.0000000298023224"/>
                            <w:jc w:val="center"/>
                            <w:textDirection w:val="btLr"/>
                          </w:pPr>
                          <w:r w:rsidDel="00000000" w:rsidR="00000000" w:rsidRPr="00000000">
                            <w:rPr>
                              <w:rFonts w:ascii="Lucida Sans" w:cs="Lucida Sans" w:eastAsia="Lucida Sans" w:hAnsi="Lucida Sans"/>
                              <w:b w:val="0"/>
                              <w:i w:val="0"/>
                              <w:smallCaps w:val="0"/>
                              <w:strike w:val="0"/>
                              <w:color w:val="000000"/>
                              <w:sz w:val="17"/>
                              <w:vertAlign w:val="baseline"/>
                            </w:rPr>
                          </w:r>
                          <w:r w:rsidDel="00000000" w:rsidR="00000000" w:rsidRPr="00000000">
                            <w:rPr>
                              <w:rFonts w:ascii="Lucida Sans" w:cs="Lucida Sans" w:eastAsia="Lucida Sans" w:hAnsi="Lucida Sans"/>
                              <w:b w:val="0"/>
                              <w:i w:val="0"/>
                              <w:smallCaps w:val="0"/>
                              <w:strike w:val="0"/>
                              <w:color w:val="000000"/>
                              <w:sz w:val="17"/>
                              <w:vertAlign w:val="baseline"/>
                            </w:rPr>
                            <w:t xml:space="preserve">The Activity Den, Tanfield Lea, Stanley DH9 9LU</w:t>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Lucida Sans" w:cs="Lucida Sans" w:eastAsia="Lucida Sans" w:hAnsi="Lucida Sans"/>
                              <w:b w:val="0"/>
                              <w:i w:val="0"/>
                              <w:smallCaps w:val="0"/>
                              <w:strike w:val="0"/>
                              <w:color w:val="000000"/>
                              <w:sz w:val="17"/>
                              <w:vertAlign w:val="baseline"/>
                            </w:rPr>
                          </w: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Lucida Sans" w:cs="Lucida Sans" w:eastAsia="Lucida Sans" w:hAnsi="Lucida Sans"/>
                              <w:b w:val="0"/>
                              <w:i w:val="0"/>
                              <w:smallCaps w:val="0"/>
                              <w:strike w:val="0"/>
                              <w:color w:val="000000"/>
                              <w:sz w:val="17"/>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-133349</wp:posOffset>
              </wp:positionH>
              <wp:positionV relativeFrom="paragraph">
                <wp:posOffset>-95249</wp:posOffset>
              </wp:positionV>
              <wp:extent cx="6543675" cy="70485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543675" cy="7048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-276224</wp:posOffset>
          </wp:positionH>
          <wp:positionV relativeFrom="paragraph">
            <wp:posOffset>133350</wp:posOffset>
          </wp:positionV>
          <wp:extent cx="704850" cy="704850"/>
          <wp:effectExtent b="0" l="0" r="0" t="0"/>
          <wp:wrapNone/>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4850" cy="70485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5705475</wp:posOffset>
          </wp:positionH>
          <wp:positionV relativeFrom="paragraph">
            <wp:posOffset>137113</wp:posOffset>
          </wp:positionV>
          <wp:extent cx="704850" cy="704850"/>
          <wp:effectExtent b="0" l="0" r="0" t="0"/>
          <wp:wrapNone/>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04850" cy="704850"/>
                  </a:xfrm>
                  <a:prstGeom prst="rect"/>
                  <a:ln/>
                </pic:spPr>
              </pic:pic>
            </a:graphicData>
          </a:graphic>
        </wp:anchor>
      </w:drawing>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284" w:firstLine="0"/>
      <w:jc w:val="center"/>
      <w:rPr/>
    </w:pPr>
    <w:r w:rsidDel="00000000" w:rsidR="00000000" w:rsidRPr="00000000">
      <w:rPr>
        <w:rFonts w:ascii="Calibri" w:cs="Calibri" w:eastAsia="Calibri" w:hAnsi="Calibri"/>
        <w:b w:val="1"/>
        <w:bCs w:val="1"/>
        <w:sz w:val="36"/>
        <w:szCs w:val="36"/>
        <w:rtl w:val="0"/>
      </w:rPr>
      <w:t xml:space="preserve">Improving the lives of children and young people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7geoETEPppImXwcblqQSB2AO5A==">CgMxLjAyCGguZ2pkZ3hzMg5oLnljaXNlanRscWFsMzgAciExR1BrZWM3dnBNVGJtNzNldHRzaHZ2ZzFSRDAxVVhLNEw=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